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DF0B6B">
        <w:rPr>
          <w:rFonts w:asciiTheme="minorHAnsi" w:hAnsiTheme="minorHAnsi" w:cs="Arial"/>
          <w:b/>
        </w:rPr>
        <w:t xml:space="preserve"> </w:t>
      </w:r>
      <w:r w:rsidR="00FA299C">
        <w:rPr>
          <w:rFonts w:asciiTheme="minorHAnsi" w:hAnsiTheme="minorHAnsi" w:cs="Arial"/>
          <w:b/>
        </w:rPr>
        <w:t>15-12-2016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437715" w:rsidRDefault="00437715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437715" w:rsidRPr="00186776" w:rsidRDefault="00437715" w:rsidP="0043771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</w:rPr>
      </w:pPr>
      <w:r w:rsidRPr="00437715">
        <w:rPr>
          <w:rFonts w:asciiTheme="minorHAnsi" w:hAnsiTheme="minorHAnsi" w:cs="Arial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FA299C" w:rsidRPr="00FA299C" w:rsidRDefault="00514153" w:rsidP="00FA299C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FA299C" w:rsidRPr="00FA299C">
        <w:rPr>
          <w:rFonts w:asciiTheme="minorHAnsi" w:hAnsiTheme="minorHAnsi" w:cs="Arial"/>
        </w:rPr>
        <w:t>Zamówienie na wykonanie pilotażowego wdrożenia wybranej Sektorowej Ramy Kwalifikacji w zakresie zarządzania kompetencjami w przedsiębiorstwie</w:t>
      </w:r>
      <w:r w:rsidR="000119BF" w:rsidRPr="000119BF">
        <w:rPr>
          <w:rFonts w:asciiTheme="minorHAnsi" w:hAnsiTheme="minorHAnsi" w:cs="Arial"/>
        </w:rPr>
        <w:t>.</w:t>
      </w:r>
      <w:r w:rsidR="005640DC" w:rsidRPr="00186776">
        <w:rPr>
          <w:rFonts w:asciiTheme="minorHAnsi" w:hAnsiTheme="minorHAnsi" w:cs="Arial"/>
        </w:rPr>
        <w:t xml:space="preserve">  </w:t>
      </w:r>
    </w:p>
    <w:p w:rsidR="00514153" w:rsidRPr="00186776" w:rsidRDefault="00FA299C" w:rsidP="00FA299C">
      <w:pPr>
        <w:spacing w:after="120" w:line="276" w:lineRule="auto"/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8E689D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119BF" w:rsidRDefault="000A4799" w:rsidP="000119BF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jc w:val="both"/>
        <w:rPr>
          <w:rFonts w:asciiTheme="minorHAnsi" w:hAnsiTheme="minorHAnsi" w:cs="Arial"/>
          <w:bCs/>
        </w:rPr>
      </w:pPr>
      <w:r w:rsidRPr="000119BF">
        <w:rPr>
          <w:rFonts w:asciiTheme="minorHAnsi" w:hAnsiTheme="minorHAnsi" w:cs="Arial"/>
          <w:b/>
          <w:bCs/>
        </w:rPr>
        <w:t>Termin realizacji zamówienia</w:t>
      </w:r>
      <w:r w:rsidR="00FA299C">
        <w:rPr>
          <w:rFonts w:asciiTheme="minorHAnsi" w:hAnsiTheme="minorHAnsi" w:cs="Arial"/>
          <w:b/>
          <w:bCs/>
        </w:rPr>
        <w:t xml:space="preserve">: </w:t>
      </w:r>
      <w:r w:rsidR="004A1B80">
        <w:rPr>
          <w:rFonts w:asciiTheme="minorHAnsi" w:hAnsiTheme="minorHAnsi" w:cs="Arial"/>
          <w:bCs/>
        </w:rPr>
        <w:t>30-06</w:t>
      </w:r>
      <w:r w:rsidR="00FA299C">
        <w:rPr>
          <w:rFonts w:asciiTheme="minorHAnsi" w:hAnsiTheme="minorHAnsi" w:cs="Arial"/>
          <w:bCs/>
        </w:rPr>
        <w:t>-2017</w:t>
      </w:r>
      <w:r w:rsidR="000119BF" w:rsidRPr="000119BF">
        <w:rPr>
          <w:rFonts w:asciiTheme="minorHAnsi" w:hAnsiTheme="minorHAnsi" w:cs="Arial"/>
          <w:bCs/>
        </w:rPr>
        <w:t xml:space="preserve"> r.</w:t>
      </w:r>
    </w:p>
    <w:p w:rsidR="004A1B80" w:rsidRPr="004A1B80" w:rsidRDefault="002D55D5" w:rsidP="004A1B80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jc w:val="both"/>
        <w:rPr>
          <w:rFonts w:asciiTheme="minorHAnsi" w:hAnsiTheme="minorHAnsi" w:cs="Arial"/>
          <w:bCs/>
        </w:rPr>
      </w:pPr>
      <w:r w:rsidRPr="000119BF">
        <w:rPr>
          <w:rFonts w:asciiTheme="minorHAnsi" w:hAnsiTheme="minorHAnsi" w:cs="Arial"/>
          <w:b/>
          <w:bCs/>
        </w:rPr>
        <w:t>Warunki udziału w postępowaniu</w:t>
      </w:r>
      <w:r w:rsidR="00186776" w:rsidRPr="000119BF">
        <w:rPr>
          <w:rFonts w:asciiTheme="minorHAnsi" w:hAnsiTheme="minorHAnsi" w:cs="Arial"/>
          <w:b/>
          <w:bCs/>
        </w:rPr>
        <w:t xml:space="preserve"> np.</w:t>
      </w:r>
      <w:r w:rsidRPr="000119BF">
        <w:rPr>
          <w:rFonts w:asciiTheme="minorHAnsi" w:hAnsiTheme="minorHAnsi" w:cs="Arial"/>
          <w:bCs/>
        </w:rPr>
        <w:t>:</w:t>
      </w:r>
    </w:p>
    <w:p w:rsidR="002D55D5" w:rsidRPr="004A4CD9" w:rsidRDefault="005640DC" w:rsidP="004A4CD9">
      <w:pPr>
        <w:ind w:firstLine="360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>Wymagania w zakresie doświadczenia i kwalifikacji:</w:t>
      </w:r>
    </w:p>
    <w:p w:rsid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</w:p>
    <w:p w:rsidR="009B0B99" w:rsidRDefault="000A1282" w:rsidP="009B0B99">
      <w:pPr>
        <w:ind w:firstLine="360"/>
        <w:jc w:val="both"/>
        <w:rPr>
          <w:rFonts w:asciiTheme="minorHAnsi" w:hAnsiTheme="minorHAnsi" w:cs="Arial"/>
          <w:b/>
          <w:u w:val="single"/>
        </w:rPr>
      </w:pPr>
      <w:r w:rsidRPr="004A4CD9">
        <w:rPr>
          <w:rFonts w:asciiTheme="minorHAnsi" w:hAnsiTheme="minorHAnsi" w:cs="Arial"/>
          <w:b/>
          <w:u w:val="single"/>
        </w:rPr>
        <w:t>Doświadczenie</w:t>
      </w:r>
    </w:p>
    <w:p w:rsidR="004A1B80" w:rsidRPr="004A1B80" w:rsidRDefault="004A1B80" w:rsidP="004A1B80">
      <w:pPr>
        <w:spacing w:after="120" w:line="276" w:lineRule="auto"/>
        <w:ind w:firstLine="360"/>
        <w:jc w:val="both"/>
        <w:rPr>
          <w:rFonts w:ascii="Calibri" w:hAnsi="Calibri"/>
          <w:sz w:val="21"/>
          <w:szCs w:val="21"/>
        </w:rPr>
      </w:pPr>
      <w:r w:rsidRPr="004A1B80">
        <w:rPr>
          <w:rFonts w:ascii="Calibri" w:hAnsi="Calibri"/>
          <w:sz w:val="21"/>
          <w:szCs w:val="21"/>
        </w:rPr>
        <w:t>Do udziału w postępowaniu może zgłosić się instytucja dysponująca:</w:t>
      </w:r>
    </w:p>
    <w:p w:rsidR="004A1B80" w:rsidRPr="004A1B80" w:rsidRDefault="004A1B80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4A1B80">
        <w:rPr>
          <w:rFonts w:ascii="Calibri" w:hAnsi="Calibri"/>
          <w:sz w:val="21"/>
          <w:szCs w:val="21"/>
        </w:rPr>
        <w:t>wiedzą i doświadczeniem w zakresie niezbędnym do wykonania zamówienia, tj. w zakresie kompetencji oraz kwalifikacji funkcjonujących w sektorze, którego dotyczy wybrana do pilotażu SRK;</w:t>
      </w:r>
    </w:p>
    <w:p w:rsidR="004A1B80" w:rsidRPr="00202FA9" w:rsidRDefault="004A1B80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4A1B80">
        <w:rPr>
          <w:rFonts w:ascii="Calibri" w:hAnsi="Calibri"/>
          <w:sz w:val="21"/>
          <w:szCs w:val="21"/>
        </w:rPr>
        <w:t xml:space="preserve">- za wystarczające Zamawiający uzna wykazanie należytego wykonania, a w przypadku świadczeń </w:t>
      </w:r>
      <w:r w:rsidRPr="00202FA9">
        <w:rPr>
          <w:rFonts w:ascii="Calibri" w:hAnsi="Calibri"/>
          <w:sz w:val="21"/>
          <w:szCs w:val="21"/>
        </w:rPr>
        <w:t xml:space="preserve">okresowych lub ‎ciągłych wykonywania w okresie ostatnich 3 lat, przed upływem terminu składania ofert, a jeżeli okres prowadzenia działalności jest krótszy – w tym okresie: </w:t>
      </w:r>
    </w:p>
    <w:p w:rsidR="004A1B80" w:rsidRPr="00202FA9" w:rsidRDefault="00986566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202FA9">
        <w:rPr>
          <w:rFonts w:ascii="Calibri" w:hAnsi="Calibri"/>
          <w:sz w:val="21"/>
          <w:szCs w:val="21"/>
        </w:rPr>
        <w:t>a)</w:t>
      </w:r>
      <w:r w:rsidRPr="00202FA9">
        <w:rPr>
          <w:rFonts w:ascii="Calibri" w:hAnsi="Calibri"/>
          <w:sz w:val="21"/>
          <w:szCs w:val="21"/>
        </w:rPr>
        <w:tab/>
        <w:t>co najmniej 1</w:t>
      </w:r>
      <w:r w:rsidR="004A1B80" w:rsidRPr="00202FA9">
        <w:rPr>
          <w:rFonts w:ascii="Calibri" w:hAnsi="Calibri"/>
          <w:sz w:val="21"/>
          <w:szCs w:val="21"/>
        </w:rPr>
        <w:t xml:space="preserve"> usług</w:t>
      </w:r>
      <w:r w:rsidRPr="00202FA9">
        <w:rPr>
          <w:rFonts w:ascii="Calibri" w:hAnsi="Calibri"/>
          <w:sz w:val="21"/>
          <w:szCs w:val="21"/>
        </w:rPr>
        <w:t>i analitycznej dotyczącej</w:t>
      </w:r>
      <w:r w:rsidR="004A1B80" w:rsidRPr="00202FA9">
        <w:rPr>
          <w:rFonts w:ascii="Calibri" w:hAnsi="Calibri"/>
          <w:sz w:val="21"/>
          <w:szCs w:val="21"/>
        </w:rPr>
        <w:t xml:space="preserve"> kompetencji i/lub kwalifikacji w danym sektorze (np. sporządzenie „bilansu” kwalifikacji nadawanych w danym sektorze, rozpoznanie kluczowych kompetencji wymaganych wobec pracowników zatrudnionych w tym sektorze, analiza popytu i podaży na kompetencje i kwalifikacje, opracowanie ram kwalifikacji, „map” kwalifikacji, itp.); kopia publikacji poświ</w:t>
      </w:r>
      <w:r w:rsidRPr="00202FA9">
        <w:rPr>
          <w:rFonts w:ascii="Calibri" w:hAnsi="Calibri"/>
          <w:sz w:val="21"/>
          <w:szCs w:val="21"/>
        </w:rPr>
        <w:t>adczających wykonanie wymaganej</w:t>
      </w:r>
      <w:r w:rsidR="004A1B80" w:rsidRPr="00202FA9">
        <w:rPr>
          <w:rFonts w:ascii="Calibri" w:hAnsi="Calibri"/>
          <w:sz w:val="21"/>
          <w:szCs w:val="21"/>
        </w:rPr>
        <w:t xml:space="preserve"> przez Zamawiającego usług</w:t>
      </w:r>
      <w:r w:rsidRPr="00202FA9">
        <w:rPr>
          <w:rFonts w:ascii="Calibri" w:hAnsi="Calibri"/>
          <w:sz w:val="21"/>
          <w:szCs w:val="21"/>
        </w:rPr>
        <w:t>i</w:t>
      </w:r>
      <w:r w:rsidR="004A1B80" w:rsidRPr="00202FA9">
        <w:rPr>
          <w:rFonts w:ascii="Calibri" w:hAnsi="Calibri"/>
          <w:sz w:val="21"/>
          <w:szCs w:val="21"/>
        </w:rPr>
        <w:t xml:space="preserve"> powinna być dołączona w wersji papierowej</w:t>
      </w:r>
      <w:r w:rsidR="00A63CAB" w:rsidRPr="00202FA9">
        <w:rPr>
          <w:rFonts w:ascii="Calibri" w:hAnsi="Calibri"/>
          <w:sz w:val="21"/>
          <w:szCs w:val="21"/>
        </w:rPr>
        <w:t xml:space="preserve"> lub elektronicznej </w:t>
      </w:r>
      <w:r w:rsidR="004A1B80" w:rsidRPr="00202FA9">
        <w:rPr>
          <w:rFonts w:ascii="Calibri" w:hAnsi="Calibri"/>
          <w:sz w:val="21"/>
          <w:szCs w:val="21"/>
        </w:rPr>
        <w:t>jako załącznik do składanej oferty;</w:t>
      </w:r>
    </w:p>
    <w:p w:rsidR="004A1B80" w:rsidRPr="004A1B80" w:rsidRDefault="004A1B80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202FA9">
        <w:rPr>
          <w:rFonts w:ascii="Calibri" w:hAnsi="Calibri"/>
          <w:sz w:val="21"/>
          <w:szCs w:val="21"/>
        </w:rPr>
        <w:t>b)</w:t>
      </w:r>
      <w:r w:rsidRPr="00202FA9">
        <w:rPr>
          <w:rFonts w:ascii="Calibri" w:hAnsi="Calibri"/>
          <w:sz w:val="21"/>
          <w:szCs w:val="21"/>
        </w:rPr>
        <w:tab/>
        <w:t xml:space="preserve">co najmniej </w:t>
      </w:r>
      <w:r w:rsidR="00986566" w:rsidRPr="00202FA9">
        <w:rPr>
          <w:rFonts w:ascii="Calibri" w:hAnsi="Calibri"/>
          <w:sz w:val="21"/>
          <w:szCs w:val="21"/>
        </w:rPr>
        <w:t>1 usługi</w:t>
      </w:r>
      <w:r w:rsidRPr="00202FA9">
        <w:rPr>
          <w:rFonts w:ascii="Calibri" w:hAnsi="Calibri"/>
          <w:sz w:val="21"/>
          <w:szCs w:val="21"/>
        </w:rPr>
        <w:t xml:space="preserve"> wdroż</w:t>
      </w:r>
      <w:r w:rsidR="00986566" w:rsidRPr="00202FA9">
        <w:rPr>
          <w:rFonts w:ascii="Calibri" w:hAnsi="Calibri"/>
          <w:sz w:val="21"/>
          <w:szCs w:val="21"/>
        </w:rPr>
        <w:t>eniowej lub szkoleniowej dotyczącej</w:t>
      </w:r>
      <w:r w:rsidRPr="00202FA9">
        <w:rPr>
          <w:rFonts w:ascii="Calibri" w:hAnsi="Calibri"/>
          <w:sz w:val="21"/>
          <w:szCs w:val="21"/>
        </w:rPr>
        <w:t xml:space="preserve"> kompetencji i/lub kwalifikacji w danym sektorze (np. wdrożenie nowych procedur rekrutacji i/lub selekcji, identyfikacji zapotrzebowania na kompetencje, motywacji lub oceny pracowników</w:t>
      </w:r>
      <w:r w:rsidRPr="004A1B80">
        <w:rPr>
          <w:rFonts w:ascii="Calibri" w:hAnsi="Calibri"/>
          <w:sz w:val="21"/>
          <w:szCs w:val="21"/>
        </w:rPr>
        <w:t>;  szkolenie lub kształcenie na potrzeby sektora)</w:t>
      </w:r>
    </w:p>
    <w:p w:rsidR="004A1B80" w:rsidRPr="004A1B80" w:rsidRDefault="004A1B80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4A1B80">
        <w:rPr>
          <w:rFonts w:ascii="Calibri" w:hAnsi="Calibri"/>
          <w:sz w:val="21"/>
          <w:szCs w:val="21"/>
        </w:rPr>
        <w:lastRenderedPageBreak/>
        <w:t xml:space="preserve">W </w:t>
      </w:r>
      <w:r w:rsidRPr="00202FA9">
        <w:rPr>
          <w:rFonts w:ascii="Calibri" w:hAnsi="Calibri"/>
          <w:sz w:val="21"/>
          <w:szCs w:val="21"/>
        </w:rPr>
        <w:t xml:space="preserve">przypadku, gdy wykazane usługi obejmują wszystkie wymagane elementy, wystarczającym jest wykazanie jedynie </w:t>
      </w:r>
      <w:r w:rsidR="00986566" w:rsidRPr="00202FA9">
        <w:rPr>
          <w:rFonts w:ascii="Calibri" w:hAnsi="Calibri"/>
          <w:sz w:val="21"/>
          <w:szCs w:val="21"/>
        </w:rPr>
        <w:t>1 usługi</w:t>
      </w:r>
      <w:r w:rsidRPr="00202FA9">
        <w:rPr>
          <w:rFonts w:ascii="Calibri" w:hAnsi="Calibri"/>
          <w:sz w:val="21"/>
          <w:szCs w:val="21"/>
        </w:rPr>
        <w:t>.</w:t>
      </w:r>
    </w:p>
    <w:p w:rsidR="004A1B80" w:rsidRDefault="004A1B80" w:rsidP="009B0B99">
      <w:pPr>
        <w:ind w:firstLine="360"/>
        <w:jc w:val="both"/>
        <w:rPr>
          <w:rFonts w:asciiTheme="minorHAnsi" w:hAnsiTheme="minorHAnsi" w:cs="Arial"/>
          <w:b/>
          <w:u w:val="single"/>
        </w:rPr>
      </w:pPr>
    </w:p>
    <w:p w:rsid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Kwalifikacje</w:t>
      </w:r>
    </w:p>
    <w:p w:rsidR="004A1B80" w:rsidRDefault="004A1B80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4A1B80">
        <w:rPr>
          <w:rFonts w:ascii="Calibri" w:hAnsi="Calibri"/>
          <w:sz w:val="21"/>
          <w:szCs w:val="21"/>
        </w:rPr>
        <w:t>Do udziału w postępowaniu może zgłosić się instytucja dysponująca:</w:t>
      </w:r>
    </w:p>
    <w:p w:rsidR="004A4CD9" w:rsidRPr="004A1B80" w:rsidRDefault="004A1B80" w:rsidP="004A1B80">
      <w:pPr>
        <w:spacing w:after="120" w:line="276" w:lineRule="auto"/>
        <w:ind w:left="720"/>
        <w:jc w:val="both"/>
        <w:rPr>
          <w:rFonts w:ascii="Calibri" w:hAnsi="Calibri"/>
          <w:sz w:val="21"/>
          <w:szCs w:val="21"/>
        </w:rPr>
      </w:pPr>
      <w:r w:rsidRPr="004A1B80">
        <w:rPr>
          <w:rFonts w:ascii="Calibri" w:hAnsi="Calibri"/>
          <w:sz w:val="21"/>
          <w:szCs w:val="21"/>
        </w:rPr>
        <w:t xml:space="preserve">osobami zdolnymi do realizacji przedsięwzięcia, w tym w szczególności kierownikiem merytorycznym projektu. Kierownik merytoryczny projektu musi być osobą z co najmniej dziesięcioletnim doświadczeniem pracy w branży wybranej do pilotażu, w tym co najmniej pięcioletnim na stanowisku związanym z kompetencjami i kwalifikacjami pracowników (np. udział w procesach rekrutacji, projektowanie, organizacja i prowadzenie szkoleń, itp.). </w:t>
      </w:r>
    </w:p>
    <w:p w:rsidR="004A4CD9" w:rsidRP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</w:p>
    <w:p w:rsidR="004A4CD9" w:rsidRPr="004A1B80" w:rsidRDefault="005640DC" w:rsidP="004A4CD9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p w:rsidR="004A1B80" w:rsidRPr="00E54B59" w:rsidRDefault="004A1B80" w:rsidP="004A1B80">
      <w:pPr>
        <w:rPr>
          <w:rFonts w:asciiTheme="minorHAnsi" w:hAnsiTheme="minorHAnsi" w:cstheme="minorHAnsi"/>
        </w:rPr>
      </w:pPr>
      <w:r w:rsidRPr="00E54B59">
        <w:rPr>
          <w:rFonts w:asciiTheme="minorHAnsi" w:hAnsiTheme="minorHAnsi" w:cstheme="minorHAnsi"/>
        </w:rPr>
        <w:t>Oferty będą oceniane zgodnie z poniższymi kryteriami:</w:t>
      </w:r>
    </w:p>
    <w:p w:rsidR="004A1B80" w:rsidRPr="00E54B59" w:rsidRDefault="004A1B80" w:rsidP="004A1B80">
      <w:pPr>
        <w:rPr>
          <w:rFonts w:asciiTheme="minorHAnsi" w:hAnsiTheme="minorHAnsi" w:cstheme="minorHAnsi"/>
        </w:rPr>
      </w:pPr>
    </w:p>
    <w:p w:rsidR="004A1B80" w:rsidRDefault="004A1B80" w:rsidP="004A1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535"/>
        <w:gridCol w:w="1769"/>
      </w:tblGrid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35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769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Liczba punktów</w:t>
            </w:r>
          </w:p>
        </w:tc>
      </w:tr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35" w:type="dxa"/>
          </w:tcPr>
          <w:p w:rsidR="004A1B80" w:rsidRPr="004A1B80" w:rsidRDefault="004A1B80" w:rsidP="005E404E">
            <w:pPr>
              <w:jc w:val="both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769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30</w:t>
            </w:r>
          </w:p>
        </w:tc>
      </w:tr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35" w:type="dxa"/>
          </w:tcPr>
          <w:p w:rsidR="004A1B80" w:rsidRPr="004A1B80" w:rsidRDefault="004A1B80" w:rsidP="005E404E">
            <w:pPr>
              <w:jc w:val="both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Uzasadnienie wyboru konkretnych działań z listy wskazanej przez zamawiającego, uzasadnienie wyboru przedsiębiorstwa oraz zasadność planowanych działań w logice pracy firmy</w:t>
            </w:r>
          </w:p>
        </w:tc>
        <w:tc>
          <w:tcPr>
            <w:tcW w:w="1769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20</w:t>
            </w:r>
          </w:p>
        </w:tc>
      </w:tr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35" w:type="dxa"/>
          </w:tcPr>
          <w:p w:rsidR="004A1B80" w:rsidRPr="004A1B80" w:rsidRDefault="004A1B80" w:rsidP="005E404E">
            <w:pPr>
              <w:jc w:val="both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Opis wykonania planowanych działań</w:t>
            </w:r>
          </w:p>
        </w:tc>
        <w:tc>
          <w:tcPr>
            <w:tcW w:w="1769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20</w:t>
            </w:r>
          </w:p>
        </w:tc>
      </w:tr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35" w:type="dxa"/>
          </w:tcPr>
          <w:p w:rsidR="004A1B80" w:rsidRPr="004A1B80" w:rsidRDefault="004A1B80" w:rsidP="005E404E">
            <w:pPr>
              <w:jc w:val="both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Opis planowanych do wykorzystania narzędzi</w:t>
            </w:r>
          </w:p>
        </w:tc>
        <w:tc>
          <w:tcPr>
            <w:tcW w:w="1769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20</w:t>
            </w:r>
          </w:p>
        </w:tc>
      </w:tr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535" w:type="dxa"/>
          </w:tcPr>
          <w:p w:rsidR="004A1B80" w:rsidRPr="004A1B80" w:rsidRDefault="004A1B80" w:rsidP="005E404E">
            <w:pPr>
              <w:jc w:val="both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Harmonogram planowanych działań</w:t>
            </w:r>
          </w:p>
        </w:tc>
        <w:tc>
          <w:tcPr>
            <w:tcW w:w="1769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  <w:r w:rsidRPr="004A1B80">
              <w:rPr>
                <w:rFonts w:asciiTheme="minorHAnsi" w:hAnsiTheme="minorHAnsi" w:cstheme="minorHAnsi"/>
              </w:rPr>
              <w:t>10</w:t>
            </w:r>
          </w:p>
        </w:tc>
      </w:tr>
      <w:tr w:rsidR="004A1B80" w:rsidTr="004A1B80">
        <w:tc>
          <w:tcPr>
            <w:tcW w:w="603" w:type="dxa"/>
          </w:tcPr>
          <w:p w:rsidR="004A1B80" w:rsidRPr="004A1B80" w:rsidRDefault="004A1B80" w:rsidP="005E4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35" w:type="dxa"/>
          </w:tcPr>
          <w:p w:rsidR="004A1B80" w:rsidRPr="00E54B59" w:rsidRDefault="004A1B80" w:rsidP="005E40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4B59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69" w:type="dxa"/>
          </w:tcPr>
          <w:p w:rsidR="004A1B80" w:rsidRPr="00E54B59" w:rsidRDefault="004A1B80" w:rsidP="005E40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B59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4A1B80" w:rsidRDefault="004A1B80" w:rsidP="004A1B80"/>
    <w:p w:rsidR="004A1B80" w:rsidRDefault="004A1B80" w:rsidP="004A1B80">
      <w:pPr>
        <w:suppressAutoHyphens/>
        <w:spacing w:line="276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4A1B80" w:rsidRPr="00202FA9" w:rsidRDefault="004A1B80" w:rsidP="00E54B59">
      <w:pPr>
        <w:suppressAutoHyphens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02FA9">
        <w:rPr>
          <w:rFonts w:ascii="Arial" w:hAnsi="Arial" w:cs="Arial"/>
          <w:b/>
          <w:sz w:val="22"/>
          <w:szCs w:val="22"/>
          <w:lang w:eastAsia="ar-SA"/>
        </w:rPr>
        <w:t>Punkty będą przyznawane według następujących zasad:</w:t>
      </w:r>
    </w:p>
    <w:p w:rsidR="004A4CD9" w:rsidRPr="00202FA9" w:rsidRDefault="004A4CD9" w:rsidP="00E54B59">
      <w:pPr>
        <w:pStyle w:val="Akapitzlist"/>
        <w:numPr>
          <w:ilvl w:val="0"/>
          <w:numId w:val="40"/>
        </w:numPr>
        <w:spacing w:after="120"/>
        <w:ind w:left="709" w:hanging="425"/>
        <w:jc w:val="both"/>
        <w:rPr>
          <w:rFonts w:asciiTheme="minorHAnsi" w:hAnsiTheme="minorHAnsi" w:cs="Arial"/>
        </w:rPr>
      </w:pPr>
      <w:r w:rsidRPr="00202FA9">
        <w:rPr>
          <w:rFonts w:asciiTheme="minorHAnsi" w:hAnsiTheme="minorHAnsi" w:cs="Arial"/>
        </w:rPr>
        <w:t xml:space="preserve">Cena- </w:t>
      </w:r>
      <w:r w:rsidR="004A1B80" w:rsidRPr="00202FA9">
        <w:rPr>
          <w:rFonts w:asciiTheme="minorHAnsi" w:hAnsiTheme="minorHAnsi" w:cs="Arial"/>
        </w:rPr>
        <w:t>3</w:t>
      </w:r>
      <w:r w:rsidRPr="00202FA9">
        <w:rPr>
          <w:rFonts w:asciiTheme="minorHAnsi" w:hAnsiTheme="minorHAnsi" w:cs="Arial"/>
        </w:rPr>
        <w:t>0 pkt</w:t>
      </w:r>
    </w:p>
    <w:p w:rsidR="004A4CD9" w:rsidRPr="00202FA9" w:rsidRDefault="00E54B59" w:rsidP="00E54B59">
      <w:pPr>
        <w:tabs>
          <w:tab w:val="left" w:pos="360"/>
        </w:tabs>
        <w:spacing w:after="120" w:line="276" w:lineRule="auto"/>
        <w:ind w:left="709" w:hanging="425"/>
        <w:jc w:val="both"/>
        <w:rPr>
          <w:rFonts w:asciiTheme="minorHAnsi" w:hAnsiTheme="minorHAnsi" w:cs="Arial"/>
        </w:rPr>
      </w:pPr>
      <w:r w:rsidRPr="00202FA9">
        <w:rPr>
          <w:rFonts w:asciiTheme="minorHAnsi" w:hAnsiTheme="minorHAnsi" w:cs="Arial"/>
        </w:rPr>
        <w:tab/>
      </w:r>
      <w:r w:rsidRPr="00202FA9">
        <w:rPr>
          <w:rFonts w:asciiTheme="minorHAnsi" w:hAnsiTheme="minorHAnsi" w:cs="Arial"/>
        </w:rPr>
        <w:tab/>
      </w:r>
      <w:r w:rsidR="004A4CD9" w:rsidRPr="00202FA9">
        <w:rPr>
          <w:rFonts w:asciiTheme="minorHAnsi" w:hAnsiTheme="minorHAnsi" w:cs="Arial"/>
        </w:rPr>
        <w:t xml:space="preserve">Liczba punktów oferty = (cena oferty najniżej skalkulowanej x </w:t>
      </w:r>
      <w:r w:rsidR="004A1B80" w:rsidRPr="00202FA9">
        <w:rPr>
          <w:rFonts w:asciiTheme="minorHAnsi" w:hAnsiTheme="minorHAnsi" w:cs="Arial"/>
        </w:rPr>
        <w:t>3</w:t>
      </w:r>
      <w:r w:rsidR="004A4CD9" w:rsidRPr="00202FA9">
        <w:rPr>
          <w:rFonts w:asciiTheme="minorHAnsi" w:hAnsiTheme="minorHAnsi" w:cs="Arial"/>
        </w:rPr>
        <w:t>0): cena oferty ocenianej.</w:t>
      </w:r>
    </w:p>
    <w:p w:rsidR="004A1B80" w:rsidRPr="00202FA9" w:rsidRDefault="004A1B80" w:rsidP="00E54B59">
      <w:pPr>
        <w:pStyle w:val="Akapitzlist"/>
        <w:numPr>
          <w:ilvl w:val="0"/>
          <w:numId w:val="40"/>
        </w:numPr>
        <w:spacing w:after="120"/>
        <w:ind w:left="709" w:hanging="425"/>
        <w:jc w:val="both"/>
        <w:rPr>
          <w:rFonts w:asciiTheme="minorHAnsi" w:hAnsiTheme="minorHAnsi" w:cs="Arial"/>
        </w:rPr>
      </w:pPr>
      <w:r w:rsidRPr="00202FA9">
        <w:rPr>
          <w:rFonts w:asciiTheme="minorHAnsi" w:hAnsiTheme="minorHAnsi" w:cstheme="minorHAnsi"/>
        </w:rPr>
        <w:t>Uzasadnienie wyboru konkretnych działań z listy wskazanej przez zamawiającego, uzasadnienie wyboru przedsiębiorstwa oraz zasadność planowanych działań w logice pracy firmy – 20 pkt</w:t>
      </w:r>
    </w:p>
    <w:p w:rsidR="00857D83" w:rsidRPr="00202FA9" w:rsidRDefault="00857D83" w:rsidP="00857D83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>20 pkt – Uzasadnienie wyboru działań, uzasadnienie wyboru przedsiębiorstwa oraz zasadność planowanych działań w logice pracy firmy jest precyzyjne, wyczerpujące, i spójne oraz zgodne z celami i założeniami opisanymi w roz</w:t>
      </w:r>
      <w:r w:rsidR="00332B0F" w:rsidRPr="00202FA9">
        <w:rPr>
          <w:rFonts w:asciiTheme="minorHAnsi" w:hAnsiTheme="minorHAnsi" w:cstheme="minorHAnsi"/>
        </w:rPr>
        <w:t xml:space="preserve">dziale 2, w szczególności możliwość przeniesienia doświadczeń z pilotażu na inne przedsiębiorstwa branżowe </w:t>
      </w:r>
      <w:r w:rsidRPr="00202FA9">
        <w:rPr>
          <w:rFonts w:asciiTheme="minorHAnsi" w:hAnsiTheme="minorHAnsi" w:cstheme="minorHAnsi"/>
        </w:rPr>
        <w:t>OPZ. Nie wymaga doprecyzowania i uzupełnienia.</w:t>
      </w:r>
    </w:p>
    <w:p w:rsidR="00857D83" w:rsidRPr="00202FA9" w:rsidRDefault="00D37451" w:rsidP="00857D83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>15</w:t>
      </w:r>
      <w:r w:rsidR="00857D83" w:rsidRPr="00202FA9">
        <w:rPr>
          <w:rFonts w:asciiTheme="minorHAnsi" w:hAnsiTheme="minorHAnsi" w:cstheme="minorHAnsi"/>
        </w:rPr>
        <w:t xml:space="preserve"> pkt – </w:t>
      </w:r>
      <w:r w:rsidR="00332B0F" w:rsidRPr="00202FA9">
        <w:rPr>
          <w:rFonts w:asciiTheme="minorHAnsi" w:hAnsiTheme="minorHAnsi" w:cstheme="minorHAnsi"/>
        </w:rPr>
        <w:t>Uzasadnienie wyboru działań, uzasadnienie wyboru przedsiębiorstwa oraz zasadność planowanych działań w logice pracy firmy</w:t>
      </w:r>
      <w:r w:rsidR="00857D83" w:rsidRPr="00202FA9">
        <w:rPr>
          <w:rFonts w:asciiTheme="minorHAnsi" w:hAnsiTheme="minorHAnsi" w:cstheme="minorHAnsi"/>
        </w:rPr>
        <w:t xml:space="preserve"> wymaga doprecyzowania lub uzupełnienia w zakresie jednego </w:t>
      </w:r>
      <w:r w:rsidRPr="00202FA9">
        <w:rPr>
          <w:rFonts w:asciiTheme="minorHAnsi" w:hAnsiTheme="minorHAnsi" w:cstheme="minorHAnsi"/>
        </w:rPr>
        <w:t>elementu</w:t>
      </w:r>
      <w:r w:rsidR="00857D83" w:rsidRPr="00202FA9">
        <w:rPr>
          <w:rFonts w:asciiTheme="minorHAnsi" w:hAnsiTheme="minorHAnsi" w:cstheme="minorHAnsi"/>
        </w:rPr>
        <w:t xml:space="preserve">, by zagwarantować zgodność z celami i założeniami opisanymi w rozdziale 2 OPZ. </w:t>
      </w:r>
    </w:p>
    <w:p w:rsidR="00D37451" w:rsidRPr="00202FA9" w:rsidRDefault="00D37451" w:rsidP="00D37451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10 pkt – </w:t>
      </w:r>
      <w:r w:rsidR="00332B0F" w:rsidRPr="00202FA9">
        <w:rPr>
          <w:rFonts w:asciiTheme="minorHAnsi" w:hAnsiTheme="minorHAnsi" w:cstheme="minorHAnsi"/>
        </w:rPr>
        <w:t>Uzasadnienie wyboru działań, uzasadnienie wyboru przedsiębiorstwa oraz zasadność planowanych działań w logice pracy firmy</w:t>
      </w:r>
      <w:r w:rsidRPr="00202FA9">
        <w:rPr>
          <w:rFonts w:asciiTheme="minorHAnsi" w:hAnsiTheme="minorHAnsi" w:cstheme="minorHAnsi"/>
        </w:rPr>
        <w:t xml:space="preserve"> wymaga doprecyzowania lub </w:t>
      </w:r>
      <w:r w:rsidRPr="00202FA9">
        <w:rPr>
          <w:rFonts w:asciiTheme="minorHAnsi" w:hAnsiTheme="minorHAnsi" w:cstheme="minorHAnsi"/>
        </w:rPr>
        <w:lastRenderedPageBreak/>
        <w:t xml:space="preserve">uzupełnienia w zakresie dwóch elementów, by zagwarantować zgodność z celami i założeniami opisanymi w rozdziale 2 OPZ. </w:t>
      </w:r>
    </w:p>
    <w:p w:rsidR="00D37451" w:rsidRPr="00202FA9" w:rsidRDefault="00D37451" w:rsidP="00D37451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5 pkt – </w:t>
      </w:r>
      <w:r w:rsidR="00332B0F" w:rsidRPr="00202FA9">
        <w:rPr>
          <w:rFonts w:asciiTheme="minorHAnsi" w:hAnsiTheme="minorHAnsi" w:cstheme="minorHAnsi"/>
        </w:rPr>
        <w:t>Uzasadnienie wyboru działań, uzasadnienie wyboru przedsiębiorstwa oraz zasadność planowanych działań w logice pracy firmy</w:t>
      </w:r>
      <w:r w:rsidRPr="00202FA9">
        <w:rPr>
          <w:rFonts w:asciiTheme="minorHAnsi" w:hAnsiTheme="minorHAnsi" w:cstheme="minorHAnsi"/>
        </w:rPr>
        <w:t xml:space="preserve"> wymaga doprecyzowania lub uzupełnienia w zakresie trzech</w:t>
      </w:r>
      <w:r w:rsidR="00202FA9" w:rsidRPr="00202FA9">
        <w:rPr>
          <w:rFonts w:asciiTheme="minorHAnsi" w:hAnsiTheme="minorHAnsi" w:cstheme="minorHAnsi"/>
        </w:rPr>
        <w:t xml:space="preserve"> elementów</w:t>
      </w:r>
      <w:r w:rsidRPr="00202FA9">
        <w:rPr>
          <w:rFonts w:asciiTheme="minorHAnsi" w:hAnsiTheme="minorHAnsi" w:cstheme="minorHAnsi"/>
        </w:rPr>
        <w:t>, by zagwarantować zgodność z celami i założeniami opisanymi w rozdziale 2 OPZ.</w:t>
      </w:r>
    </w:p>
    <w:p w:rsidR="00857D83" w:rsidRPr="00202FA9" w:rsidRDefault="00D37451" w:rsidP="00857D83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>0</w:t>
      </w:r>
      <w:r w:rsidR="00857D83" w:rsidRPr="00202FA9">
        <w:rPr>
          <w:rFonts w:asciiTheme="minorHAnsi" w:hAnsiTheme="minorHAnsi" w:cstheme="minorHAnsi"/>
        </w:rPr>
        <w:t xml:space="preserve"> pkt – </w:t>
      </w:r>
      <w:r w:rsidR="00332B0F" w:rsidRPr="00202FA9">
        <w:rPr>
          <w:rFonts w:asciiTheme="minorHAnsi" w:hAnsiTheme="minorHAnsi" w:cstheme="minorHAnsi"/>
        </w:rPr>
        <w:t xml:space="preserve">Uzasadnienie wyboru działań, uzasadnienie wyboru przedsiębiorstwa oraz zasadność planowanych działań w logice pracy firmy </w:t>
      </w:r>
      <w:r w:rsidR="00857D83" w:rsidRPr="00202FA9">
        <w:rPr>
          <w:rFonts w:asciiTheme="minorHAnsi" w:hAnsiTheme="minorHAnsi" w:cstheme="minorHAnsi"/>
        </w:rPr>
        <w:t xml:space="preserve">wymaga doprecyzowania lub uzupełnienia w zakresie </w:t>
      </w:r>
      <w:r w:rsidRPr="00202FA9">
        <w:rPr>
          <w:rFonts w:asciiTheme="minorHAnsi" w:hAnsiTheme="minorHAnsi" w:cstheme="minorHAnsi"/>
        </w:rPr>
        <w:t>czterech lub więcej</w:t>
      </w:r>
      <w:r w:rsidR="00857D83" w:rsidRPr="00202FA9">
        <w:rPr>
          <w:rFonts w:asciiTheme="minorHAnsi" w:hAnsiTheme="minorHAnsi" w:cstheme="minorHAnsi"/>
        </w:rPr>
        <w:t xml:space="preserve"> elementów, by zagwarantować zgodność z celami i założeniami opisanymi w rozdziale 2 OPZ.</w:t>
      </w:r>
    </w:p>
    <w:p w:rsidR="004A1B80" w:rsidRPr="00202FA9" w:rsidRDefault="004A1B80" w:rsidP="00E54B59">
      <w:pPr>
        <w:pStyle w:val="Akapitzlist"/>
        <w:numPr>
          <w:ilvl w:val="0"/>
          <w:numId w:val="40"/>
        </w:numPr>
        <w:spacing w:after="120"/>
        <w:ind w:left="709" w:hanging="425"/>
        <w:jc w:val="both"/>
        <w:rPr>
          <w:rFonts w:asciiTheme="minorHAnsi" w:hAnsiTheme="minorHAnsi" w:cs="Arial"/>
        </w:rPr>
      </w:pPr>
      <w:r w:rsidRPr="00202FA9">
        <w:rPr>
          <w:rFonts w:asciiTheme="minorHAnsi" w:hAnsiTheme="minorHAnsi" w:cstheme="minorHAnsi"/>
        </w:rPr>
        <w:t>Opis wykonania planowanych działań – 20 pkt</w:t>
      </w:r>
    </w:p>
    <w:p w:rsidR="00F5657F" w:rsidRPr="00202FA9" w:rsidRDefault="00F5657F" w:rsidP="00332B0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20 pkt – Opis wykonania planowanych działań jest precyzyjny, wyczerpujący i spójny by zagwarantować </w:t>
      </w:r>
      <w:r w:rsidR="00332B0F" w:rsidRPr="00202FA9">
        <w:rPr>
          <w:rFonts w:asciiTheme="minorHAnsi" w:hAnsiTheme="minorHAnsi" w:cstheme="minorHAnsi"/>
        </w:rPr>
        <w:t>ich wysokojakościową realizację, w szczególności możliwość przeniesienia doświadczeń z ich realizacji na inne przedsiębiorstwa branżowe OPZ. Nie wymaga doprecyzowania i uzupełnienia.</w:t>
      </w:r>
    </w:p>
    <w:p w:rsidR="00332B0F" w:rsidRPr="00202FA9" w:rsidRDefault="00F5657F" w:rsidP="00F5657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15 pkt – </w:t>
      </w:r>
      <w:r w:rsidR="00332B0F" w:rsidRPr="00202FA9">
        <w:rPr>
          <w:rFonts w:asciiTheme="minorHAnsi" w:hAnsiTheme="minorHAnsi" w:cstheme="minorHAnsi"/>
        </w:rPr>
        <w:t xml:space="preserve">Opis wykonania planowanych działań </w:t>
      </w:r>
      <w:r w:rsidRPr="00202FA9">
        <w:rPr>
          <w:rFonts w:asciiTheme="minorHAnsi" w:hAnsiTheme="minorHAnsi" w:cstheme="minorHAnsi"/>
        </w:rPr>
        <w:t xml:space="preserve">wymaga doprecyzowania lub uzupełnienia w zakresie jednego elementu, by </w:t>
      </w:r>
      <w:r w:rsidR="00332B0F" w:rsidRPr="00202FA9">
        <w:rPr>
          <w:rFonts w:asciiTheme="minorHAnsi" w:hAnsiTheme="minorHAnsi" w:cstheme="minorHAnsi"/>
        </w:rPr>
        <w:t xml:space="preserve">zagwarantować ich wysokojakościową realizację </w:t>
      </w:r>
    </w:p>
    <w:p w:rsidR="00332B0F" w:rsidRPr="00202FA9" w:rsidRDefault="00F5657F" w:rsidP="00F5657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10 pkt – </w:t>
      </w:r>
      <w:r w:rsidR="00332B0F" w:rsidRPr="00202FA9">
        <w:rPr>
          <w:rFonts w:asciiTheme="minorHAnsi" w:hAnsiTheme="minorHAnsi" w:cstheme="minorHAnsi"/>
        </w:rPr>
        <w:t xml:space="preserve">Opis wykonania planowanych działań wymaga doprecyzowania lub uzupełnienia w zakresie dwóch elementów, by zagwarantować ich wysokojakościową realizację </w:t>
      </w:r>
    </w:p>
    <w:p w:rsidR="00332B0F" w:rsidRPr="00202FA9" w:rsidRDefault="00F5657F" w:rsidP="00F5657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10 pkt – </w:t>
      </w:r>
      <w:r w:rsidR="00332B0F" w:rsidRPr="00202FA9">
        <w:rPr>
          <w:rFonts w:asciiTheme="minorHAnsi" w:hAnsiTheme="minorHAnsi" w:cstheme="minorHAnsi"/>
        </w:rPr>
        <w:t>Opis wykonania planowanych działań wymaga doprecyzowania lub uzupełnienia w zakresie trzech elementów, by zagwarantować ich wysokojakościową realizację.</w:t>
      </w:r>
    </w:p>
    <w:p w:rsidR="00E54B59" w:rsidRPr="00202FA9" w:rsidRDefault="00F5657F" w:rsidP="00F5657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0 pkt </w:t>
      </w:r>
      <w:r w:rsidR="00332B0F" w:rsidRPr="00202FA9">
        <w:rPr>
          <w:rFonts w:asciiTheme="minorHAnsi" w:hAnsiTheme="minorHAnsi" w:cstheme="minorHAnsi"/>
        </w:rPr>
        <w:t xml:space="preserve">- Opis wykonania planowanych działań wymaga doprecyzowania lub uzupełnienia </w:t>
      </w:r>
      <w:r w:rsidRPr="00202FA9">
        <w:rPr>
          <w:rFonts w:asciiTheme="minorHAnsi" w:hAnsiTheme="minorHAnsi" w:cstheme="minorHAnsi"/>
        </w:rPr>
        <w:t xml:space="preserve">w zakresie </w:t>
      </w:r>
      <w:r w:rsidR="00332B0F" w:rsidRPr="00202FA9">
        <w:rPr>
          <w:rFonts w:asciiTheme="minorHAnsi" w:hAnsiTheme="minorHAnsi" w:cstheme="minorHAnsi"/>
        </w:rPr>
        <w:t>czterech lub</w:t>
      </w:r>
      <w:r w:rsidRPr="00202FA9">
        <w:rPr>
          <w:rFonts w:asciiTheme="minorHAnsi" w:hAnsiTheme="minorHAnsi" w:cstheme="minorHAnsi"/>
        </w:rPr>
        <w:t xml:space="preserve"> więcej elementów, </w:t>
      </w:r>
      <w:r w:rsidR="00332B0F" w:rsidRPr="00202FA9">
        <w:rPr>
          <w:rFonts w:asciiTheme="minorHAnsi" w:hAnsiTheme="minorHAnsi" w:cstheme="minorHAnsi"/>
        </w:rPr>
        <w:t>by zagwarantować ich wysokojakościową realizację.</w:t>
      </w:r>
    </w:p>
    <w:p w:rsidR="004A1B80" w:rsidRPr="00202FA9" w:rsidRDefault="004A1B80" w:rsidP="00E54B59">
      <w:pPr>
        <w:pStyle w:val="Akapitzlist"/>
        <w:numPr>
          <w:ilvl w:val="0"/>
          <w:numId w:val="40"/>
        </w:numPr>
        <w:spacing w:after="120"/>
        <w:ind w:left="709" w:hanging="425"/>
        <w:jc w:val="both"/>
        <w:rPr>
          <w:rFonts w:asciiTheme="minorHAnsi" w:hAnsiTheme="minorHAnsi" w:cs="Arial"/>
        </w:rPr>
      </w:pPr>
      <w:r w:rsidRPr="00202FA9">
        <w:rPr>
          <w:rFonts w:asciiTheme="minorHAnsi" w:hAnsiTheme="minorHAnsi" w:cstheme="minorHAnsi"/>
        </w:rPr>
        <w:t>Opis planowanych do wykorzystania narzędzi</w:t>
      </w:r>
      <w:r w:rsidRPr="00202FA9">
        <w:rPr>
          <w:rFonts w:asciiTheme="minorHAnsi" w:eastAsia="Times New Roman" w:hAnsiTheme="minorHAnsi" w:cstheme="minorHAnsi"/>
          <w:sz w:val="24"/>
          <w:szCs w:val="24"/>
          <w:lang w:eastAsia="pl-PL"/>
        </w:rPr>
        <w:t>– 20 pkt</w:t>
      </w:r>
    </w:p>
    <w:p w:rsidR="00D37451" w:rsidRPr="00202FA9" w:rsidRDefault="00D37451" w:rsidP="00D37451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>20 pkt – Opis planowanych do wykorzystania narzędzi jest</w:t>
      </w:r>
      <w:r w:rsidR="00F5657F" w:rsidRPr="00202FA9">
        <w:rPr>
          <w:rFonts w:asciiTheme="minorHAnsi" w:hAnsiTheme="minorHAnsi" w:cstheme="minorHAnsi"/>
        </w:rPr>
        <w:t xml:space="preserve"> precyzyjny</w:t>
      </w:r>
      <w:r w:rsidRPr="00202FA9">
        <w:rPr>
          <w:rFonts w:asciiTheme="minorHAnsi" w:hAnsiTheme="minorHAnsi" w:cstheme="minorHAnsi"/>
        </w:rPr>
        <w:t>,</w:t>
      </w:r>
      <w:r w:rsidR="00F5657F" w:rsidRPr="00202FA9">
        <w:rPr>
          <w:rFonts w:asciiTheme="minorHAnsi" w:hAnsiTheme="minorHAnsi" w:cstheme="minorHAnsi"/>
        </w:rPr>
        <w:t xml:space="preserve"> wyczerpujący</w:t>
      </w:r>
      <w:r w:rsidRPr="00202FA9">
        <w:rPr>
          <w:rFonts w:asciiTheme="minorHAnsi" w:hAnsiTheme="minorHAnsi" w:cstheme="minorHAnsi"/>
        </w:rPr>
        <w:t xml:space="preserve"> i </w:t>
      </w:r>
      <w:r w:rsidR="00F5657F" w:rsidRPr="00202FA9">
        <w:rPr>
          <w:rFonts w:asciiTheme="minorHAnsi" w:hAnsiTheme="minorHAnsi" w:cstheme="minorHAnsi"/>
        </w:rPr>
        <w:t>spójny</w:t>
      </w:r>
      <w:r w:rsidRPr="00202FA9">
        <w:rPr>
          <w:rFonts w:asciiTheme="minorHAnsi" w:hAnsiTheme="minorHAnsi" w:cstheme="minorHAnsi"/>
        </w:rPr>
        <w:t xml:space="preserve"> </w:t>
      </w:r>
      <w:r w:rsidR="00F5657F" w:rsidRPr="00202FA9">
        <w:rPr>
          <w:rFonts w:asciiTheme="minorHAnsi" w:hAnsiTheme="minorHAnsi" w:cstheme="minorHAnsi"/>
        </w:rPr>
        <w:t>by zagwarantować adekwatność do realizacji zadań wybranych spośród listy opisanej w rozdziale 2 OPZ</w:t>
      </w:r>
      <w:r w:rsidRPr="00202FA9">
        <w:rPr>
          <w:rFonts w:asciiTheme="minorHAnsi" w:hAnsiTheme="minorHAnsi" w:cstheme="minorHAnsi"/>
        </w:rPr>
        <w:t>.</w:t>
      </w:r>
    </w:p>
    <w:p w:rsidR="00F5657F" w:rsidRPr="00202FA9" w:rsidRDefault="00D37451" w:rsidP="00D37451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15 pkt – </w:t>
      </w:r>
      <w:r w:rsidR="00F5657F" w:rsidRPr="00202FA9">
        <w:rPr>
          <w:rFonts w:asciiTheme="minorHAnsi" w:hAnsiTheme="minorHAnsi" w:cstheme="minorHAnsi"/>
        </w:rPr>
        <w:t xml:space="preserve">Opis planowanych do wykorzystania narzędzi </w:t>
      </w:r>
      <w:r w:rsidRPr="00202FA9">
        <w:rPr>
          <w:rFonts w:asciiTheme="minorHAnsi" w:hAnsiTheme="minorHAnsi" w:cstheme="minorHAnsi"/>
        </w:rPr>
        <w:t xml:space="preserve">wymaga doprecyzowania lub uzupełnienia w zakresie jednego elementu, </w:t>
      </w:r>
      <w:r w:rsidR="00F5657F" w:rsidRPr="00202FA9">
        <w:rPr>
          <w:rFonts w:asciiTheme="minorHAnsi" w:hAnsiTheme="minorHAnsi" w:cstheme="minorHAnsi"/>
        </w:rPr>
        <w:t>by zagwarantować adekwatność do realizacji zadań wybranych spośród listy opisanej w rozdziale 2 OPZ.</w:t>
      </w:r>
    </w:p>
    <w:p w:rsidR="00F5657F" w:rsidRPr="00202FA9" w:rsidRDefault="00D37451" w:rsidP="00D37451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10 pkt – </w:t>
      </w:r>
      <w:r w:rsidR="00F5657F" w:rsidRPr="00202FA9">
        <w:rPr>
          <w:rFonts w:asciiTheme="minorHAnsi" w:hAnsiTheme="minorHAnsi" w:cstheme="minorHAnsi"/>
        </w:rPr>
        <w:t>Opis planowanych do wykorzystania narzędzi wymaga doprecyzowania lub uzupełnienia w zakresie dwóch elementów, by zagwarantować adekwatność do realizacji zadań wybranych spośród listy opisanej w rozdziale 2 OPZ.</w:t>
      </w:r>
    </w:p>
    <w:p w:rsidR="00F5657F" w:rsidRPr="00202FA9" w:rsidRDefault="00F5657F" w:rsidP="00F5657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>5 pkt – Opis planowanych do wykorzystania narzędzi wymaga doprecyzowania lub uzupełnienia w zakresie trzech elementów, by zagwarantować adekwatność do realizacji zadań wybranych spośród listy opisanej w rozdziale 2 OPZ.</w:t>
      </w:r>
    </w:p>
    <w:p w:rsidR="00D37451" w:rsidRPr="00202FA9" w:rsidRDefault="00D37451" w:rsidP="00F5657F">
      <w:pPr>
        <w:pStyle w:val="Akapitzlist"/>
        <w:spacing w:after="120"/>
        <w:ind w:left="1146"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0 pkt – </w:t>
      </w:r>
      <w:r w:rsidR="00F5657F" w:rsidRPr="00202FA9">
        <w:rPr>
          <w:rFonts w:asciiTheme="minorHAnsi" w:hAnsiTheme="minorHAnsi" w:cstheme="minorHAnsi"/>
        </w:rPr>
        <w:t>10 pkt – Opis planowanych do wykorzystania narzędzi wymaga doprecyzowania lub uzupełnienia w zakresie czterech i więcej elementów, by zagwarantować adekwatność do realizacji zadań wybranych spośród listy opisanej w rozdziale 2 OPZ.</w:t>
      </w:r>
    </w:p>
    <w:p w:rsidR="004A1B80" w:rsidRPr="00202FA9" w:rsidRDefault="004A1B80" w:rsidP="00E54B59">
      <w:pPr>
        <w:pStyle w:val="Akapitzlist"/>
        <w:numPr>
          <w:ilvl w:val="0"/>
          <w:numId w:val="40"/>
        </w:numPr>
        <w:spacing w:after="120"/>
        <w:ind w:left="709" w:hanging="425"/>
        <w:jc w:val="both"/>
        <w:rPr>
          <w:rFonts w:asciiTheme="minorHAnsi" w:hAnsiTheme="minorHAnsi" w:cs="Arial"/>
        </w:rPr>
      </w:pPr>
      <w:r w:rsidRPr="00202FA9">
        <w:rPr>
          <w:rFonts w:asciiTheme="minorHAnsi" w:hAnsiTheme="minorHAnsi" w:cstheme="minorHAnsi"/>
        </w:rPr>
        <w:t>Harmonogram planowanych działań</w:t>
      </w:r>
      <w:r w:rsidRPr="00202FA9">
        <w:rPr>
          <w:rFonts w:asciiTheme="minorHAnsi" w:eastAsia="Times New Roman" w:hAnsiTheme="minorHAnsi" w:cstheme="minorHAnsi"/>
          <w:sz w:val="24"/>
          <w:szCs w:val="24"/>
          <w:lang w:eastAsia="pl-PL"/>
        </w:rPr>
        <w:t>– 10 pkt</w:t>
      </w:r>
    </w:p>
    <w:p w:rsidR="00D37451" w:rsidRPr="00202FA9" w:rsidRDefault="00D37451" w:rsidP="00D37451">
      <w:pPr>
        <w:suppressAutoHyphens/>
        <w:spacing w:line="276" w:lineRule="auto"/>
        <w:ind w:left="798" w:firstLine="618"/>
        <w:contextualSpacing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lastRenderedPageBreak/>
        <w:t xml:space="preserve">10 pkt – Harmonogram realizacji zamówienia jest wyczerpujący i realistyczny. </w:t>
      </w:r>
    </w:p>
    <w:p w:rsidR="00D37451" w:rsidRPr="00202FA9" w:rsidRDefault="00D37451" w:rsidP="00D37451">
      <w:pPr>
        <w:suppressAutoHyphens/>
        <w:spacing w:line="276" w:lineRule="auto"/>
        <w:ind w:left="798" w:firstLine="618"/>
        <w:contextualSpacing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 5 pkt – Harmonogram zamówienia wymaga uzupełnienia, doprecyzowania lub zmiany w jednym lub dwóch punktach. </w:t>
      </w:r>
    </w:p>
    <w:p w:rsidR="00D37451" w:rsidRPr="00202FA9" w:rsidRDefault="00D37451" w:rsidP="00D37451">
      <w:pPr>
        <w:suppressAutoHyphens/>
        <w:spacing w:line="276" w:lineRule="auto"/>
        <w:ind w:left="798" w:firstLine="618"/>
        <w:contextualSpacing/>
        <w:jc w:val="both"/>
        <w:rPr>
          <w:rFonts w:asciiTheme="minorHAnsi" w:hAnsiTheme="minorHAnsi" w:cstheme="minorHAnsi"/>
        </w:rPr>
      </w:pPr>
      <w:r w:rsidRPr="00202FA9">
        <w:rPr>
          <w:rFonts w:asciiTheme="minorHAnsi" w:hAnsiTheme="minorHAnsi" w:cstheme="minorHAnsi"/>
        </w:rPr>
        <w:t xml:space="preserve"> 0  pkt – Harmonogram realizacji zamówienia wymaga uzupełnienia, doprecyzowania lub zmiany w trzech lub więcej z wymienionych wyżej punktów.</w:t>
      </w:r>
    </w:p>
    <w:p w:rsidR="00186776" w:rsidRPr="00202FA9" w:rsidRDefault="00186776" w:rsidP="007F4BE3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02FA9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202FA9" w:rsidRDefault="007178A5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02F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</w:t>
      </w:r>
      <w:r w:rsidR="00186776" w:rsidRPr="00202F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ormularz ofertowy</w:t>
      </w:r>
    </w:p>
    <w:p w:rsidR="007178A5" w:rsidRPr="007178A5" w:rsidRDefault="007178A5" w:rsidP="007178A5">
      <w:pPr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Curriculum Vitae kierownika merytorycznego projektu</w:t>
      </w:r>
      <w:r w:rsidR="00A40FCA">
        <w:rPr>
          <w:rFonts w:asciiTheme="minorHAnsi" w:hAnsiTheme="minorHAnsi" w:cstheme="minorHAnsi"/>
        </w:rPr>
        <w:t xml:space="preserve"> – potwierdzające posiadanie kwalifikacji określonych w pkt 3 ogłoszenia</w:t>
      </w:r>
      <w:r w:rsidRPr="007178A5">
        <w:rPr>
          <w:rFonts w:asciiTheme="minorHAnsi" w:hAnsiTheme="minorHAnsi" w:cstheme="minorHAnsi"/>
        </w:rPr>
        <w:t>,</w:t>
      </w:r>
    </w:p>
    <w:p w:rsidR="007178A5" w:rsidRPr="00A40FCA" w:rsidRDefault="00965034" w:rsidP="007178A5">
      <w:pPr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40FCA">
        <w:rPr>
          <w:rFonts w:asciiTheme="minorHAnsi" w:hAnsiTheme="minorHAnsi" w:cstheme="minorHAnsi"/>
        </w:rPr>
        <w:t xml:space="preserve">Wykaz usług </w:t>
      </w:r>
      <w:r w:rsidR="00A40FCA">
        <w:rPr>
          <w:rFonts w:asciiTheme="minorHAnsi" w:hAnsiTheme="minorHAnsi" w:cstheme="minorHAnsi"/>
        </w:rPr>
        <w:t xml:space="preserve">(tabela – załącznik nr 4) </w:t>
      </w:r>
      <w:r w:rsidR="007178A5" w:rsidRPr="00A40FCA">
        <w:rPr>
          <w:rFonts w:asciiTheme="minorHAnsi" w:hAnsiTheme="minorHAnsi" w:cstheme="minorHAnsi"/>
        </w:rPr>
        <w:t xml:space="preserve">poświadczający posiadanie </w:t>
      </w:r>
      <w:r w:rsidR="00A40FCA">
        <w:rPr>
          <w:rFonts w:asciiTheme="minorHAnsi" w:hAnsiTheme="minorHAnsi" w:cstheme="minorHAnsi"/>
        </w:rPr>
        <w:t>odpowiedniego doświadczenia</w:t>
      </w:r>
      <w:r w:rsidR="007178A5" w:rsidRPr="00A40FCA">
        <w:rPr>
          <w:rFonts w:asciiTheme="minorHAnsi" w:hAnsiTheme="minorHAnsi" w:cstheme="minorHAnsi"/>
        </w:rPr>
        <w:t xml:space="preserve"> niezbędn</w:t>
      </w:r>
      <w:r w:rsidR="00A40FCA">
        <w:rPr>
          <w:rFonts w:asciiTheme="minorHAnsi" w:hAnsiTheme="minorHAnsi" w:cstheme="minorHAnsi"/>
        </w:rPr>
        <w:t>ego</w:t>
      </w:r>
      <w:r w:rsidR="007178A5" w:rsidRPr="00A40FCA">
        <w:rPr>
          <w:rFonts w:asciiTheme="minorHAnsi" w:hAnsiTheme="minorHAnsi" w:cstheme="minorHAnsi"/>
        </w:rPr>
        <w:t xml:space="preserve"> do należytej realizacji zamówienia</w:t>
      </w:r>
      <w:r w:rsidRPr="00A40FCA">
        <w:rPr>
          <w:rFonts w:asciiTheme="minorHAnsi" w:hAnsiTheme="minorHAnsi" w:cstheme="minorHAnsi"/>
        </w:rPr>
        <w:t xml:space="preserve"> opisa</w:t>
      </w:r>
      <w:r w:rsidR="00A40FCA">
        <w:rPr>
          <w:rFonts w:asciiTheme="minorHAnsi" w:hAnsiTheme="minorHAnsi" w:cstheme="minorHAnsi"/>
        </w:rPr>
        <w:t xml:space="preserve">nego </w:t>
      </w:r>
      <w:r w:rsidRPr="00A40FCA">
        <w:rPr>
          <w:rFonts w:asciiTheme="minorHAnsi" w:hAnsiTheme="minorHAnsi" w:cstheme="minorHAnsi"/>
        </w:rPr>
        <w:t xml:space="preserve"> w pkt 3 ogłoszenia</w:t>
      </w:r>
      <w:r w:rsidR="007178A5" w:rsidRPr="00A40FCA">
        <w:rPr>
          <w:rFonts w:asciiTheme="minorHAnsi" w:hAnsiTheme="minorHAnsi" w:cstheme="minorHAnsi"/>
        </w:rPr>
        <w:t>,</w:t>
      </w:r>
    </w:p>
    <w:p w:rsidR="007178A5" w:rsidRPr="007178A5" w:rsidRDefault="007178A5" w:rsidP="007178A5">
      <w:pPr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List intencyjny od przedsiębiorstwa (lub większej ich liczby), w którym planowane jest pilotażowe wdrożenie jednej z sektorowych ram  kwalifikacji w zakresie zarządzania kompetencjami oraz wskazanie osoby kontaktowej z jego strony,</w:t>
      </w:r>
    </w:p>
    <w:p w:rsidR="007178A5" w:rsidRPr="007178A5" w:rsidRDefault="007178A5" w:rsidP="007178A5">
      <w:pPr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Zestawienie liczby stanowisk wraz z określeniem liczby pracowników objętych pilotażowym wdrożeniem Harmonogram realizacji projektu,</w:t>
      </w:r>
    </w:p>
    <w:p w:rsidR="007178A5" w:rsidRPr="007178A5" w:rsidRDefault="007178A5" w:rsidP="007178A5">
      <w:pPr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Koncepcja realizacji zamówienia, zawierająca w szczególności:</w:t>
      </w:r>
    </w:p>
    <w:p w:rsidR="007178A5" w:rsidRPr="007178A5" w:rsidRDefault="007178A5" w:rsidP="007178A5">
      <w:pPr>
        <w:numPr>
          <w:ilvl w:val="1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Wskazanie przynajmniej 2 z 4 proponowanych przez Zamawiającego działań,</w:t>
      </w:r>
    </w:p>
    <w:p w:rsidR="007178A5" w:rsidRPr="007178A5" w:rsidRDefault="007178A5" w:rsidP="007178A5">
      <w:pPr>
        <w:numPr>
          <w:ilvl w:val="1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Opis planowanych przez wykonawcę działań,</w:t>
      </w:r>
    </w:p>
    <w:p w:rsidR="007178A5" w:rsidRPr="007178A5" w:rsidRDefault="007178A5" w:rsidP="007178A5">
      <w:pPr>
        <w:numPr>
          <w:ilvl w:val="1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Opis planowanych do wykorzystania przez wykonawcę narzędzi,</w:t>
      </w:r>
    </w:p>
    <w:p w:rsidR="007178A5" w:rsidRPr="007178A5" w:rsidRDefault="007178A5" w:rsidP="007178A5">
      <w:pPr>
        <w:numPr>
          <w:ilvl w:val="1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178A5">
        <w:rPr>
          <w:rFonts w:asciiTheme="minorHAnsi" w:hAnsiTheme="minorHAnsi" w:cstheme="minorHAnsi"/>
        </w:rPr>
        <w:t>Wskazanie korzyści oraz logiki wdrożenia sektorowej ramy kwalifikacji w zakresie za</w:t>
      </w:r>
      <w:r>
        <w:rPr>
          <w:rFonts w:asciiTheme="minorHAnsi" w:hAnsiTheme="minorHAnsi" w:cstheme="minorHAnsi"/>
        </w:rPr>
        <w:t xml:space="preserve">rządzania kompetencjami w danym </w:t>
      </w:r>
      <w:r w:rsidRPr="007178A5">
        <w:rPr>
          <w:rFonts w:asciiTheme="minorHAnsi" w:hAnsiTheme="minorHAnsi" w:cstheme="minorHAnsi"/>
        </w:rPr>
        <w:t>przedsiębiorstwie/</w:t>
      </w:r>
      <w:r w:rsidR="00A40FCA">
        <w:rPr>
          <w:rFonts w:asciiTheme="minorHAnsi" w:hAnsiTheme="minorHAnsi" w:cstheme="minorHAnsi"/>
        </w:rPr>
        <w:t xml:space="preserve"> </w:t>
      </w:r>
      <w:r w:rsidRPr="007178A5">
        <w:rPr>
          <w:rFonts w:asciiTheme="minorHAnsi" w:hAnsiTheme="minorHAnsi" w:cstheme="minorHAnsi"/>
        </w:rPr>
        <w:t>przedsiębiorstwach.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8E68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3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ogłoszenia w terminie do </w:t>
      </w:r>
      <w:r w:rsidR="008E68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</w:t>
      </w:r>
      <w:r w:rsidR="00375157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</w:t>
      </w:r>
      <w:bookmarkStart w:id="0" w:name="_GoBack"/>
      <w:bookmarkEnd w:id="0"/>
      <w:r w:rsidR="008E68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stycznia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8E68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2017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r.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:rsidR="007453E0" w:rsidRPr="00186776" w:rsidRDefault="006D051E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lastRenderedPageBreak/>
        <w:t>Nie przewiduje się zmiany umowy.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15" w:rsidRDefault="00C60315">
      <w:r>
        <w:separator/>
      </w:r>
    </w:p>
  </w:endnote>
  <w:endnote w:type="continuationSeparator" w:id="0">
    <w:p w:rsidR="00C60315" w:rsidRDefault="00C6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15" w:rsidRDefault="00C60315">
      <w:r>
        <w:separator/>
      </w:r>
    </w:p>
  </w:footnote>
  <w:footnote w:type="continuationSeparator" w:id="0">
    <w:p w:rsidR="00C60315" w:rsidRDefault="00C6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3" w:rsidRPr="000119BF" w:rsidRDefault="00FA299C" w:rsidP="000119BF">
    <w:pPr>
      <w:spacing w:line="276" w:lineRule="auto"/>
      <w:rPr>
        <w:rFonts w:ascii="Calibri" w:eastAsia="Calibri" w:hAnsi="Calibri"/>
        <w:b/>
        <w:sz w:val="22"/>
        <w:szCs w:val="22"/>
        <w:lang w:eastAsia="en-US"/>
      </w:rPr>
    </w:pPr>
    <w:r>
      <w:rPr>
        <w:rFonts w:ascii="Calibri" w:eastAsia="Calibri" w:hAnsi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-311519</wp:posOffset>
          </wp:positionH>
          <wp:positionV relativeFrom="paragraph">
            <wp:posOffset>-202018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A5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36539"/>
    <w:multiLevelType w:val="hybridMultilevel"/>
    <w:tmpl w:val="0CA6BAD4"/>
    <w:lvl w:ilvl="0" w:tplc="04150005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9">
    <w:nsid w:val="35CE50A8"/>
    <w:multiLevelType w:val="hybridMultilevel"/>
    <w:tmpl w:val="C218B4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1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E4686"/>
    <w:multiLevelType w:val="hybridMultilevel"/>
    <w:tmpl w:val="824C0A3E"/>
    <w:lvl w:ilvl="0" w:tplc="04150001">
      <w:start w:val="1"/>
      <w:numFmt w:val="bullet"/>
      <w:lvlText w:val=""/>
      <w:lvlJc w:val="left"/>
      <w:pPr>
        <w:tabs>
          <w:tab w:val="num" w:pos="3049"/>
        </w:tabs>
        <w:ind w:left="304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4050ED"/>
    <w:multiLevelType w:val="hybridMultilevel"/>
    <w:tmpl w:val="DA7C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5">
    <w:nsid w:val="68EB5059"/>
    <w:multiLevelType w:val="hybridMultilevel"/>
    <w:tmpl w:val="A0429376"/>
    <w:lvl w:ilvl="0" w:tplc="51E63D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6FB9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C0E4A6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774C4B"/>
    <w:multiLevelType w:val="hybridMultilevel"/>
    <w:tmpl w:val="9E64F47C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C9C4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1340D"/>
    <w:multiLevelType w:val="hybridMultilevel"/>
    <w:tmpl w:val="2A4C2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5A0EC3"/>
    <w:multiLevelType w:val="hybridMultilevel"/>
    <w:tmpl w:val="CEF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0"/>
  </w:num>
  <w:num w:numId="5">
    <w:abstractNumId w:val="37"/>
  </w:num>
  <w:num w:numId="6">
    <w:abstractNumId w:val="3"/>
  </w:num>
  <w:num w:numId="7">
    <w:abstractNumId w:val="28"/>
  </w:num>
  <w:num w:numId="8">
    <w:abstractNumId w:val="20"/>
  </w:num>
  <w:num w:numId="9">
    <w:abstractNumId w:val="21"/>
  </w:num>
  <w:num w:numId="10">
    <w:abstractNumId w:val="6"/>
  </w:num>
  <w:num w:numId="11">
    <w:abstractNumId w:val="17"/>
  </w:num>
  <w:num w:numId="12">
    <w:abstractNumId w:val="27"/>
  </w:num>
  <w:num w:numId="13">
    <w:abstractNumId w:val="39"/>
  </w:num>
  <w:num w:numId="14">
    <w:abstractNumId w:val="14"/>
  </w:num>
  <w:num w:numId="15">
    <w:abstractNumId w:val="30"/>
  </w:num>
  <w:num w:numId="16">
    <w:abstractNumId w:val="4"/>
  </w:num>
  <w:num w:numId="17">
    <w:abstractNumId w:val="24"/>
  </w:num>
  <w:num w:numId="18">
    <w:abstractNumId w:val="13"/>
  </w:num>
  <w:num w:numId="19">
    <w:abstractNumId w:val="16"/>
  </w:num>
  <w:num w:numId="20">
    <w:abstractNumId w:val="5"/>
  </w:num>
  <w:num w:numId="21">
    <w:abstractNumId w:val="26"/>
  </w:num>
  <w:num w:numId="22">
    <w:abstractNumId w:val="22"/>
  </w:num>
  <w:num w:numId="23">
    <w:abstractNumId w:val="31"/>
  </w:num>
  <w:num w:numId="24">
    <w:abstractNumId w:val="12"/>
  </w:num>
  <w:num w:numId="25">
    <w:abstractNumId w:val="34"/>
  </w:num>
  <w:num w:numId="26">
    <w:abstractNumId w:val="32"/>
  </w:num>
  <w:num w:numId="27">
    <w:abstractNumId w:val="10"/>
  </w:num>
  <w:num w:numId="28">
    <w:abstractNumId w:val="23"/>
  </w:num>
  <w:num w:numId="29">
    <w:abstractNumId w:val="36"/>
  </w:num>
  <w:num w:numId="30">
    <w:abstractNumId w:val="40"/>
  </w:num>
  <w:num w:numId="31">
    <w:abstractNumId w:val="29"/>
  </w:num>
  <w:num w:numId="32">
    <w:abstractNumId w:val="35"/>
  </w:num>
  <w:num w:numId="33">
    <w:abstractNumId w:val="1"/>
  </w:num>
  <w:num w:numId="34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3"/>
  </w:num>
  <w:num w:numId="38">
    <w:abstractNumId w:val="8"/>
  </w:num>
  <w:num w:numId="39">
    <w:abstractNumId w:val="38"/>
  </w:num>
  <w:num w:numId="40">
    <w:abstractNumId w:val="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19BF"/>
    <w:rsid w:val="00016112"/>
    <w:rsid w:val="000161BF"/>
    <w:rsid w:val="00027A08"/>
    <w:rsid w:val="00042F79"/>
    <w:rsid w:val="00056A37"/>
    <w:rsid w:val="00061A18"/>
    <w:rsid w:val="000A1282"/>
    <w:rsid w:val="000A25A0"/>
    <w:rsid w:val="000A4799"/>
    <w:rsid w:val="000A5A9B"/>
    <w:rsid w:val="000C5032"/>
    <w:rsid w:val="00105BB6"/>
    <w:rsid w:val="00121831"/>
    <w:rsid w:val="00126EC5"/>
    <w:rsid w:val="00127CF2"/>
    <w:rsid w:val="0014722B"/>
    <w:rsid w:val="00186776"/>
    <w:rsid w:val="001A346C"/>
    <w:rsid w:val="001B62FC"/>
    <w:rsid w:val="001C2CC4"/>
    <w:rsid w:val="00202FA9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44C2"/>
    <w:rsid w:val="002D55D5"/>
    <w:rsid w:val="002F049F"/>
    <w:rsid w:val="002F1BC2"/>
    <w:rsid w:val="003263AF"/>
    <w:rsid w:val="00326EDA"/>
    <w:rsid w:val="00332B0F"/>
    <w:rsid w:val="00375157"/>
    <w:rsid w:val="003A2B8E"/>
    <w:rsid w:val="003B6CFF"/>
    <w:rsid w:val="003E323D"/>
    <w:rsid w:val="004042CB"/>
    <w:rsid w:val="00412B87"/>
    <w:rsid w:val="00437715"/>
    <w:rsid w:val="00442062"/>
    <w:rsid w:val="0045134A"/>
    <w:rsid w:val="0046262E"/>
    <w:rsid w:val="00471D8F"/>
    <w:rsid w:val="00476037"/>
    <w:rsid w:val="004A1B80"/>
    <w:rsid w:val="004A4CD9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051E"/>
    <w:rsid w:val="006D4C67"/>
    <w:rsid w:val="006D618D"/>
    <w:rsid w:val="006E41C3"/>
    <w:rsid w:val="00707154"/>
    <w:rsid w:val="007177F0"/>
    <w:rsid w:val="007178A5"/>
    <w:rsid w:val="0073302A"/>
    <w:rsid w:val="007453E0"/>
    <w:rsid w:val="00752D35"/>
    <w:rsid w:val="007871FE"/>
    <w:rsid w:val="007B4037"/>
    <w:rsid w:val="007C4845"/>
    <w:rsid w:val="007F4BE3"/>
    <w:rsid w:val="00834FFC"/>
    <w:rsid w:val="00850090"/>
    <w:rsid w:val="0085735D"/>
    <w:rsid w:val="00857D83"/>
    <w:rsid w:val="0086077B"/>
    <w:rsid w:val="00881198"/>
    <w:rsid w:val="0089041F"/>
    <w:rsid w:val="008A1A5D"/>
    <w:rsid w:val="008C36F6"/>
    <w:rsid w:val="008C5D83"/>
    <w:rsid w:val="008D3A52"/>
    <w:rsid w:val="008E2377"/>
    <w:rsid w:val="008E689D"/>
    <w:rsid w:val="008F43D0"/>
    <w:rsid w:val="00905091"/>
    <w:rsid w:val="00922DE5"/>
    <w:rsid w:val="00923678"/>
    <w:rsid w:val="009400B4"/>
    <w:rsid w:val="0096437D"/>
    <w:rsid w:val="00965034"/>
    <w:rsid w:val="00981DAC"/>
    <w:rsid w:val="00983ED5"/>
    <w:rsid w:val="009853A2"/>
    <w:rsid w:val="00986566"/>
    <w:rsid w:val="009A4642"/>
    <w:rsid w:val="009B0B99"/>
    <w:rsid w:val="009D71C8"/>
    <w:rsid w:val="009E5F29"/>
    <w:rsid w:val="00A02656"/>
    <w:rsid w:val="00A121A0"/>
    <w:rsid w:val="00A16127"/>
    <w:rsid w:val="00A40FCA"/>
    <w:rsid w:val="00A46575"/>
    <w:rsid w:val="00A63CAB"/>
    <w:rsid w:val="00A6499A"/>
    <w:rsid w:val="00A70BA0"/>
    <w:rsid w:val="00AA79C3"/>
    <w:rsid w:val="00AC6DE8"/>
    <w:rsid w:val="00AD0D70"/>
    <w:rsid w:val="00AE1971"/>
    <w:rsid w:val="00AE79BD"/>
    <w:rsid w:val="00AF29C7"/>
    <w:rsid w:val="00B02CA4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60315"/>
    <w:rsid w:val="00C91982"/>
    <w:rsid w:val="00CA3C1F"/>
    <w:rsid w:val="00CB3424"/>
    <w:rsid w:val="00CC6FF7"/>
    <w:rsid w:val="00CE7117"/>
    <w:rsid w:val="00CF4CE1"/>
    <w:rsid w:val="00D33766"/>
    <w:rsid w:val="00D37451"/>
    <w:rsid w:val="00D554E0"/>
    <w:rsid w:val="00D57481"/>
    <w:rsid w:val="00D720E5"/>
    <w:rsid w:val="00D73FA8"/>
    <w:rsid w:val="00D81861"/>
    <w:rsid w:val="00D94557"/>
    <w:rsid w:val="00D94A3C"/>
    <w:rsid w:val="00DA189A"/>
    <w:rsid w:val="00DB666A"/>
    <w:rsid w:val="00DD696A"/>
    <w:rsid w:val="00DF0B6B"/>
    <w:rsid w:val="00E46976"/>
    <w:rsid w:val="00E54B59"/>
    <w:rsid w:val="00ED0C0C"/>
    <w:rsid w:val="00EE7899"/>
    <w:rsid w:val="00F041FB"/>
    <w:rsid w:val="00F244A9"/>
    <w:rsid w:val="00F5657F"/>
    <w:rsid w:val="00F615C1"/>
    <w:rsid w:val="00F7759E"/>
    <w:rsid w:val="00F96AF8"/>
    <w:rsid w:val="00FA299C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2016-12-16T09:35:00Z</cp:lastPrinted>
  <dcterms:created xsi:type="dcterms:W3CDTF">2016-12-16T10:53:00Z</dcterms:created>
  <dcterms:modified xsi:type="dcterms:W3CDTF">2016-12-20T10:12:00Z</dcterms:modified>
</cp:coreProperties>
</file>